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确山县工程建设项目招标计划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75" w:line="220" w:lineRule="auto"/>
        <w:ind w:left="235"/>
        <w:jc w:val="right"/>
        <w:rPr>
          <w:rFonts w:ascii="宋体" w:hAnsi="宋体" w:eastAsia="宋体" w:cs="宋体"/>
          <w:spacing w:val="2"/>
          <w:sz w:val="23"/>
          <w:szCs w:val="23"/>
        </w:rPr>
      </w:pPr>
      <w:r>
        <w:rPr>
          <w:rFonts w:hint="eastAsia" w:ascii="宋体" w:hAnsi="宋体" w:eastAsia="宋体" w:cs="宋体"/>
          <w:spacing w:val="2"/>
          <w:sz w:val="23"/>
          <w:szCs w:val="23"/>
          <w:lang w:val="en-US" w:eastAsia="zh-CN"/>
        </w:rPr>
        <w:t>发布日期</w:t>
      </w:r>
      <w:r>
        <w:rPr>
          <w:rFonts w:ascii="宋体" w:hAnsi="宋体" w:eastAsia="宋体" w:cs="宋体"/>
          <w:spacing w:val="2"/>
          <w:sz w:val="23"/>
          <w:szCs w:val="23"/>
        </w:rPr>
        <w:t>：</w:t>
      </w:r>
      <w:r>
        <w:rPr>
          <w:rFonts w:hint="eastAsia" w:ascii="宋体" w:hAnsi="宋体" w:eastAsia="宋体" w:cs="宋体"/>
          <w:spacing w:val="2"/>
          <w:sz w:val="23"/>
          <w:szCs w:val="23"/>
          <w:lang w:val="en-US" w:eastAsia="zh-CN"/>
        </w:rPr>
        <w:t>2024</w:t>
      </w:r>
      <w:r>
        <w:rPr>
          <w:rFonts w:ascii="宋体" w:hAnsi="宋体" w:eastAsia="宋体" w:cs="宋体"/>
          <w:spacing w:val="2"/>
          <w:sz w:val="23"/>
          <w:szCs w:val="23"/>
        </w:rPr>
        <w:t>年</w:t>
      </w:r>
      <w:r>
        <w:rPr>
          <w:rFonts w:hint="eastAsia" w:ascii="宋体" w:hAnsi="宋体" w:eastAsia="宋体" w:cs="宋体"/>
          <w:spacing w:val="2"/>
          <w:sz w:val="23"/>
          <w:szCs w:val="23"/>
          <w:lang w:val="en-US" w:eastAsia="zh-CN"/>
        </w:rPr>
        <w:t>3</w:t>
      </w:r>
      <w:r>
        <w:rPr>
          <w:rFonts w:ascii="宋体" w:hAnsi="宋体" w:eastAsia="宋体" w:cs="宋体"/>
          <w:spacing w:val="2"/>
          <w:sz w:val="23"/>
          <w:szCs w:val="23"/>
        </w:rPr>
        <w:t>月</w:t>
      </w:r>
      <w:r>
        <w:rPr>
          <w:rFonts w:hint="eastAsia" w:ascii="宋体" w:hAnsi="宋体" w:eastAsia="宋体" w:cs="宋体"/>
          <w:spacing w:val="2"/>
          <w:sz w:val="23"/>
          <w:szCs w:val="23"/>
          <w:lang w:val="en-US" w:eastAsia="zh-CN"/>
        </w:rPr>
        <w:t>26</w:t>
      </w:r>
      <w:bookmarkStart w:id="0" w:name="_GoBack"/>
      <w:bookmarkEnd w:id="0"/>
      <w:r>
        <w:rPr>
          <w:rFonts w:ascii="宋体" w:hAnsi="宋体" w:eastAsia="宋体" w:cs="宋体"/>
          <w:spacing w:val="2"/>
          <w:sz w:val="23"/>
          <w:szCs w:val="23"/>
        </w:rPr>
        <w:t>日</w:t>
      </w:r>
    </w:p>
    <w:p>
      <w:pPr>
        <w:spacing w:line="206" w:lineRule="exact"/>
      </w:pPr>
    </w:p>
    <w:tbl>
      <w:tblPr>
        <w:tblStyle w:val="7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994"/>
        <w:gridCol w:w="2557"/>
        <w:gridCol w:w="2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54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项目名称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确山县中心城区综合养老改扩建项目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54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招标人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确山县民政局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154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项目概况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line="240" w:lineRule="auto"/>
              <w:ind w:firstLine="468" w:firstLineChars="200"/>
              <w:jc w:val="left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本项目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</w:rPr>
              <w:t>驻马店市确山县盘龙街道办事处原县委县政府招待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>所进行改造，改造后作为确山县中心城区综合养老中心。新建部分主要建设内容为新建1栋地下1层地上5层的老年人生活用房，占地面积932.93平方米，建筑总面积约5400.2平方米；配套院区给排水、电力、热力、道路、室外活动场地、绿化、健身及娱乐等设施，消防管网工程，与院区现有管网及设备对接，增加部分供应能力后合并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54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4" w:line="218" w:lineRule="auto"/>
              <w:ind w:lef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投资估算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2475 万元</w:t>
            </w:r>
          </w:p>
        </w:tc>
        <w:tc>
          <w:tcPr>
            <w:tcW w:w="2557" w:type="dxa"/>
            <w:vAlign w:val="center"/>
          </w:tcPr>
          <w:p>
            <w:pPr>
              <w:spacing w:before="74" w:line="219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资金来源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中央预算内资金及地方政府配套资金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54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招标范围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line="240" w:lineRule="auto"/>
              <w:ind w:firstLine="468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>1.本工程施工图纸、工程量清单和施工招标答疑纪要包含全部内容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line="240" w:lineRule="auto"/>
              <w:ind w:firstLine="468" w:firstLineChars="200"/>
              <w:jc w:val="both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>2.本工程施工及保修阶段监理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54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28" w:lineRule="auto"/>
              <w:ind w:left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1"/>
                <w:sz w:val="22"/>
                <w:szCs w:val="22"/>
                <w:lang w:val="en-US" w:eastAsia="zh-CN"/>
              </w:rPr>
              <w:t>计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划招标时间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>2023年5月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4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7413" w:type="dxa"/>
            <w:gridSpan w:val="3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>7010180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54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备注</w:t>
            </w:r>
          </w:p>
        </w:tc>
        <w:tc>
          <w:tcPr>
            <w:tcW w:w="741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line="360" w:lineRule="auto"/>
              <w:ind w:firstLine="460" w:firstLineChars="200"/>
              <w:jc w:val="left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本次公开的招标计划是本项目的初步安排，仅供各方提前知悉，提高招标投标活动透明度，后期存在因故取消、变更的可能，具体情况以招标公告和招标文件为准。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mMxODBkZjUwYzg0ZWMwMWYzMzg3NGVmMDhlZTcifQ=="/>
  </w:docVars>
  <w:rsids>
    <w:rsidRoot w:val="3C4965E2"/>
    <w:rsid w:val="07ED0962"/>
    <w:rsid w:val="0BD47E6F"/>
    <w:rsid w:val="0C182FEF"/>
    <w:rsid w:val="0C65515D"/>
    <w:rsid w:val="1176727F"/>
    <w:rsid w:val="11835FE2"/>
    <w:rsid w:val="163A55A7"/>
    <w:rsid w:val="1C5D7A0C"/>
    <w:rsid w:val="28E92215"/>
    <w:rsid w:val="2E3F45EA"/>
    <w:rsid w:val="2F835A02"/>
    <w:rsid w:val="349905EE"/>
    <w:rsid w:val="3C3C0F95"/>
    <w:rsid w:val="3C4965E2"/>
    <w:rsid w:val="3FD65806"/>
    <w:rsid w:val="45D5333F"/>
    <w:rsid w:val="49214975"/>
    <w:rsid w:val="4A62606A"/>
    <w:rsid w:val="510E0CFA"/>
    <w:rsid w:val="5E6E102A"/>
    <w:rsid w:val="60E750C3"/>
    <w:rsid w:val="6EBB1D37"/>
    <w:rsid w:val="72992D36"/>
    <w:rsid w:val="79A952E7"/>
    <w:rsid w:val="7B6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left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40" w:lineRule="exact"/>
      <w:jc w:val="left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autoRedefine/>
    <w:qFormat/>
    <w:uiPriority w:val="0"/>
    <w:rPr>
      <w:rFonts w:eastAsia="黑体"/>
      <w:b/>
      <w:kern w:val="44"/>
      <w:sz w:val="44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442</Characters>
  <Lines>0</Lines>
  <Paragraphs>0</Paragraphs>
  <TotalTime>44</TotalTime>
  <ScaleCrop>false</ScaleCrop>
  <LinksUpToDate>false</LinksUpToDate>
  <CharactersWithSpaces>443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2023-04-27T03:21:00Z</dcterms:created>
  <dc:creator>cherry。</dc:creator>
  <cp:lastModifiedBy>dzh丶</cp:lastModifiedBy>
  <cp:lastPrinted>2024-03-22T01:54:00Z</cp:lastPrinted>
  <dcterms:modified xsi:type="dcterms:W3CDTF">2024-03-26T01:29:20Z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3A35ED4D6C784BFF95A2F4AFC5550368_11</vt:lpwstr>
  </property>
</Properties>
</file>